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43" w:rsidRPr="007F2C2C" w:rsidRDefault="00CB4543" w:rsidP="00CB4543">
      <w:pPr>
        <w:pStyle w:val="a3"/>
        <w:jc w:val="center"/>
        <w:rPr>
          <w:b/>
          <w:caps/>
          <w:lang w:val="kk-KZ"/>
        </w:rPr>
      </w:pPr>
      <w:r w:rsidRPr="007F2C2C">
        <w:rPr>
          <w:b/>
          <w:lang w:val="kk-KZ"/>
        </w:rPr>
        <w:t>ҚАЗАҚСТАН РЕСПУБЛИКАСЫ БІЛІМ ЖӘНЕ ҒЫЛЫМ МИНИСТРЛІГІ</w:t>
      </w:r>
    </w:p>
    <w:p w:rsidR="00CB4543" w:rsidRPr="007F2C2C" w:rsidRDefault="00CB4543" w:rsidP="00CB454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ӘЛ ФАРАБИ АТЫНДАҒЫ ҚАЗАҚ ҰЛТТЫҚ УНИВЕРСИТЕТІ</w:t>
      </w:r>
    </w:p>
    <w:p w:rsidR="00CB4543" w:rsidRPr="007F2C2C" w:rsidRDefault="00CB4543" w:rsidP="00CB454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Экономика және бизнес жоғары мектебі</w:t>
      </w:r>
    </w:p>
    <w:p w:rsidR="00CB4543" w:rsidRPr="007F2C2C" w:rsidRDefault="00CB4543" w:rsidP="00CB454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Қаржы және есеп кафедрасы</w:t>
      </w:r>
    </w:p>
    <w:p w:rsidR="00CB4543" w:rsidRPr="007F2C2C" w:rsidRDefault="00CB4543" w:rsidP="00CB454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7F2C2C">
        <w:rPr>
          <w:rFonts w:ascii="Times New Roman" w:eastAsia="Times New Roman" w:hAnsi="Times New Roman"/>
          <w:b/>
          <w:sz w:val="24"/>
          <w:szCs w:val="24"/>
          <w:lang w:val="kk-KZ" w:eastAsia="zh-CN"/>
        </w:rPr>
        <w:t>Есеп және аудит – 6В040105</w:t>
      </w:r>
      <w:r w:rsidRPr="007F2C2C">
        <w:rPr>
          <w:rFonts w:ascii="Times New Roman" w:hAnsi="Times New Roman"/>
          <w:b/>
          <w:sz w:val="24"/>
          <w:szCs w:val="24"/>
          <w:lang w:val="kk-KZ"/>
        </w:rPr>
        <w:t>» мамандығы үшін</w:t>
      </w:r>
    </w:p>
    <w:p w:rsidR="00CB4543" w:rsidRPr="007F2C2C" w:rsidRDefault="00CB4543" w:rsidP="00CB4543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bCs/>
          <w:spacing w:val="-20"/>
          <w:sz w:val="24"/>
          <w:szCs w:val="24"/>
          <w:lang w:val="kk-KZ"/>
        </w:rPr>
        <w:t xml:space="preserve">  «Мемлекеттік аудит»  </w:t>
      </w:r>
      <w:r w:rsidRPr="007F2C2C">
        <w:rPr>
          <w:rFonts w:ascii="Times New Roman" w:hAnsi="Times New Roman"/>
          <w:b/>
          <w:sz w:val="24"/>
          <w:szCs w:val="24"/>
          <w:lang w:val="kk-KZ"/>
        </w:rPr>
        <w:t>пəнінен дәрістік тезис</w:t>
      </w:r>
    </w:p>
    <w:p w:rsidR="00CB4543" w:rsidRPr="007F2C2C" w:rsidRDefault="00CB4543" w:rsidP="00CB454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B4543" w:rsidRPr="007F2C2C" w:rsidRDefault="00CB4543" w:rsidP="00CB45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B4543" w:rsidRPr="00B6278D" w:rsidRDefault="00B6278D" w:rsidP="00EA339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278D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="00CB4543" w:rsidRPr="00B627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-тақырып. </w:t>
      </w:r>
      <w:r w:rsidRPr="00B6278D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B6278D">
        <w:rPr>
          <w:rFonts w:ascii="Times New Roman" w:hAnsi="Times New Roman" w:cs="Times New Roman"/>
          <w:b/>
          <w:sz w:val="24"/>
          <w:szCs w:val="24"/>
          <w:lang w:val="kk-KZ"/>
        </w:rPr>
        <w:t>шкі аудит қызметтерінің қызметін ұйымдастыру</w:t>
      </w:r>
    </w:p>
    <w:p w:rsidR="00CB4543" w:rsidRPr="00B6278D" w:rsidRDefault="00CB4543" w:rsidP="00CB454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4543" w:rsidRPr="00B6278D" w:rsidRDefault="00CB4543" w:rsidP="00CB45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627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Дәріс сабағының мақсаты: </w:t>
      </w:r>
      <w:r w:rsidR="00B6278D" w:rsidRPr="00B6278D">
        <w:rPr>
          <w:rFonts w:ascii="Times New Roman" w:hAnsi="Times New Roman" w:cs="Times New Roman"/>
          <w:b/>
          <w:sz w:val="24"/>
          <w:szCs w:val="24"/>
          <w:lang w:val="kk-KZ"/>
        </w:rPr>
        <w:t>Ішкі аудит қызметтерінің қызметін ұйымдастыру</w:t>
      </w:r>
      <w:r w:rsidR="00B6278D">
        <w:rPr>
          <w:rFonts w:ascii="Times New Roman" w:hAnsi="Times New Roman" w:cs="Times New Roman"/>
          <w:b/>
          <w:sz w:val="24"/>
          <w:szCs w:val="24"/>
          <w:lang w:val="kk-KZ"/>
        </w:rPr>
        <w:t>ды анықтау</w:t>
      </w:r>
    </w:p>
    <w:p w:rsidR="00CB4543" w:rsidRDefault="00CB4543" w:rsidP="00CB45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b/>
          <w:sz w:val="24"/>
          <w:szCs w:val="24"/>
          <w:lang w:val="kk-KZ"/>
        </w:rPr>
        <w:t>Өткізілу нысаны:</w:t>
      </w:r>
      <w:r w:rsidRPr="007F2C2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F2C2C">
        <w:rPr>
          <w:rFonts w:ascii="Times New Roman" w:eastAsia="TimesNewRoman" w:hAnsi="Times New Roman"/>
          <w:sz w:val="24"/>
          <w:szCs w:val="24"/>
          <w:lang w:val="kk-KZ"/>
        </w:rPr>
        <w:t>Дискуссия</w:t>
      </w:r>
      <w:r w:rsidRPr="007F2C2C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F2C2C">
        <w:rPr>
          <w:rFonts w:ascii="Times New Roman" w:eastAsia="TimesNewRoman" w:hAnsi="Times New Roman"/>
          <w:sz w:val="24"/>
          <w:szCs w:val="24"/>
          <w:lang w:val="kk-KZ"/>
        </w:rPr>
        <w:t>баяндама</w:t>
      </w:r>
      <w:r w:rsidRPr="007F2C2C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7F2C2C">
        <w:rPr>
          <w:rFonts w:ascii="Times New Roman" w:eastAsia="TimesNewRoman" w:hAnsi="Times New Roman"/>
          <w:sz w:val="24"/>
          <w:szCs w:val="24"/>
          <w:lang w:val="kk-KZ"/>
        </w:rPr>
        <w:t>презентация</w:t>
      </w:r>
    </w:p>
    <w:p w:rsidR="00B6278D" w:rsidRPr="00B6278D" w:rsidRDefault="00B6278D" w:rsidP="00B6278D">
      <w:pPr>
        <w:pStyle w:val="pj"/>
        <w:numPr>
          <w:ilvl w:val="0"/>
          <w:numId w:val="5"/>
        </w:numPr>
        <w:rPr>
          <w:lang w:val="kk-KZ"/>
        </w:rPr>
      </w:pPr>
      <w:r w:rsidRPr="00B6278D">
        <w:rPr>
          <w:rStyle w:val="s1"/>
          <w:lang w:val="kk-KZ"/>
        </w:rPr>
        <w:t>Ішкі аудит жөніндегі уәкілетті органның прокуратура және қылмыстық қудалау органдарымен өзара іс-қимылы</w:t>
      </w:r>
    </w:p>
    <w:p w:rsidR="00B6278D" w:rsidRPr="00B6278D" w:rsidRDefault="00B6278D" w:rsidP="00B6278D">
      <w:pPr>
        <w:pStyle w:val="pj"/>
        <w:numPr>
          <w:ilvl w:val="0"/>
          <w:numId w:val="5"/>
        </w:numPr>
        <w:rPr>
          <w:rStyle w:val="s1"/>
          <w:b w:val="0"/>
          <w:bCs w:val="0"/>
          <w:lang w:val="kk-KZ"/>
        </w:rPr>
      </w:pPr>
      <w:r w:rsidRPr="00B6278D">
        <w:rPr>
          <w:rStyle w:val="s1"/>
          <w:lang w:val="kk-KZ"/>
        </w:rPr>
        <w:t>Ішкі мемлекеттік аудит жөніндегі уәкілетті орган және оның лауазымды адамдары тәуелсіздігінің кепілдіктері</w:t>
      </w:r>
    </w:p>
    <w:p w:rsidR="00B6278D" w:rsidRPr="00B6278D" w:rsidRDefault="00B6278D" w:rsidP="00B6278D">
      <w:pPr>
        <w:pStyle w:val="pj"/>
        <w:numPr>
          <w:ilvl w:val="0"/>
          <w:numId w:val="5"/>
        </w:numPr>
        <w:rPr>
          <w:rStyle w:val="s1"/>
          <w:b w:val="0"/>
          <w:bCs w:val="0"/>
          <w:lang w:val="kk-KZ"/>
        </w:rPr>
      </w:pPr>
      <w:r w:rsidRPr="00B6278D">
        <w:rPr>
          <w:rFonts w:eastAsia="TimesNewRoman"/>
          <w:lang w:val="kk-KZ"/>
        </w:rPr>
        <w:t xml:space="preserve"> </w:t>
      </w:r>
      <w:r w:rsidRPr="00B6278D">
        <w:rPr>
          <w:rStyle w:val="s1"/>
          <w:lang w:val="kk-KZ"/>
        </w:rPr>
        <w:t>Ішкі аудит қызметтерінің жұмысын ұйымдастыру</w:t>
      </w:r>
    </w:p>
    <w:p w:rsidR="00B6278D" w:rsidRPr="00B6278D" w:rsidRDefault="00B6278D" w:rsidP="00B6278D">
      <w:pPr>
        <w:pStyle w:val="pj"/>
        <w:numPr>
          <w:ilvl w:val="0"/>
          <w:numId w:val="5"/>
        </w:numPr>
        <w:rPr>
          <w:lang w:val="kk-KZ"/>
        </w:rPr>
      </w:pPr>
      <w:r w:rsidRPr="00B6278D">
        <w:rPr>
          <w:rStyle w:val="s1"/>
          <w:lang w:val="kk-KZ"/>
        </w:rPr>
        <w:t>Мемлекеттік орган басшысының ішкі аудит қызметімен өзара іс-қимылы</w:t>
      </w:r>
    </w:p>
    <w:p w:rsidR="00B6278D" w:rsidRPr="00B6278D" w:rsidRDefault="00B6278D" w:rsidP="00B6278D">
      <w:pPr>
        <w:pStyle w:val="pj"/>
        <w:ind w:left="567" w:firstLine="0"/>
        <w:rPr>
          <w:lang w:val="kk-KZ"/>
        </w:rPr>
      </w:pPr>
    </w:p>
    <w:p w:rsidR="00C07025" w:rsidRPr="00C07025" w:rsidRDefault="00C07025" w:rsidP="00B6278D">
      <w:pPr>
        <w:pStyle w:val="pj"/>
        <w:ind w:firstLine="0"/>
        <w:rPr>
          <w:lang w:val="kk-KZ"/>
        </w:rPr>
      </w:pPr>
      <w:bookmarkStart w:id="0" w:name="_GoBack"/>
      <w:bookmarkEnd w:id="0"/>
    </w:p>
    <w:p w:rsidR="00CB4543" w:rsidRPr="00C07025" w:rsidRDefault="00CB4543" w:rsidP="00C07025">
      <w:pPr>
        <w:pStyle w:val="a6"/>
        <w:tabs>
          <w:tab w:val="left" w:pos="851"/>
        </w:tabs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6278D" w:rsidRPr="00B6278D" w:rsidRDefault="00B6278D" w:rsidP="00B6278D">
      <w:pPr>
        <w:pStyle w:val="pj"/>
        <w:rPr>
          <w:lang w:val="kk-KZ"/>
        </w:rPr>
      </w:pPr>
      <w:r w:rsidRPr="00B6278D">
        <w:rPr>
          <w:rStyle w:val="s1"/>
          <w:lang w:val="kk-KZ"/>
        </w:rPr>
        <w:t>Ішкі аудит жөніндегі уәкілетті органның прокуратура және қылмыстық қудалау органдарымен өзара іс-қимылы</w:t>
      </w:r>
    </w:p>
    <w:p w:rsidR="00B6278D" w:rsidRPr="00B6278D" w:rsidRDefault="00B6278D" w:rsidP="00B6278D">
      <w:pPr>
        <w:pStyle w:val="pj"/>
        <w:rPr>
          <w:lang w:val="kk-KZ"/>
        </w:rPr>
      </w:pPr>
      <w:r w:rsidRPr="00B6278D">
        <w:rPr>
          <w:rStyle w:val="s0"/>
          <w:lang w:val="kk-KZ"/>
        </w:rPr>
        <w:t>1. Прокуратура немесе қылмыстық қудалау органдарының сұрау салуы келіп түскен кезде ішкі аудит жөніндегі уәкілетті орган:</w:t>
      </w:r>
    </w:p>
    <w:p w:rsidR="00B6278D" w:rsidRPr="00B6278D" w:rsidRDefault="00B6278D" w:rsidP="00B6278D">
      <w:pPr>
        <w:pStyle w:val="pj"/>
        <w:rPr>
          <w:lang w:val="kk-KZ"/>
        </w:rPr>
      </w:pPr>
      <w:r w:rsidRPr="00B6278D">
        <w:rPr>
          <w:rStyle w:val="s0"/>
          <w:lang w:val="kk-KZ"/>
        </w:rPr>
        <w:t>1) мемлекеттік аудиттің тиісті объектісі бойынша бұрын жүргізілген мемлекеттік аудит нәтижелері болған жағдайда, қайта мемлекеттік аудит жүргізбей осы нәтижелерді ұсынады;</w:t>
      </w:r>
    </w:p>
    <w:p w:rsidR="00B6278D" w:rsidRPr="00B6278D" w:rsidRDefault="00B6278D" w:rsidP="00B6278D">
      <w:pPr>
        <w:pStyle w:val="pj"/>
        <w:rPr>
          <w:lang w:val="kk-KZ"/>
        </w:rPr>
      </w:pPr>
      <w:r w:rsidRPr="00B6278D">
        <w:rPr>
          <w:rStyle w:val="s0"/>
          <w:lang w:val="kk-KZ"/>
        </w:rPr>
        <w:t>2) егер бұрын жүргізілген мемлекеттік аудит нәтижелерінде сұрау салуда қойылған мәселелер көрініс таппаған жағдайда, бұл мәселелер ішкі мемлекеттік аудит жөніндегі уәкілетті органның келесі жылға арналған мемлекеттік аудит объектілерінің тізбесінде ескеріледі.</w:t>
      </w:r>
    </w:p>
    <w:p w:rsidR="00B6278D" w:rsidRPr="00B6278D" w:rsidRDefault="00B6278D" w:rsidP="00B6278D">
      <w:pPr>
        <w:pStyle w:val="pj"/>
        <w:rPr>
          <w:lang w:val="kk-KZ"/>
        </w:rPr>
      </w:pPr>
      <w:r w:rsidRPr="00B6278D">
        <w:rPr>
          <w:rStyle w:val="s0"/>
          <w:lang w:val="kk-KZ"/>
        </w:rPr>
        <w:t xml:space="preserve">2. Бюджетті атқару жөніндегі орталық уәкілетті орган «Мемлекеттік сатып алу туралы» Қазақстан Республикасының </w:t>
      </w:r>
      <w:r>
        <w:fldChar w:fldCharType="begin"/>
      </w:r>
      <w:r w:rsidRPr="00B6278D">
        <w:rPr>
          <w:lang w:val="kk-KZ"/>
        </w:rPr>
        <w:instrText xml:space="preserve"> HYPERLINK "http://online.zakon.kz/Document/?doc_id=34146377" </w:instrText>
      </w:r>
      <w:r>
        <w:fldChar w:fldCharType="separate"/>
      </w:r>
      <w:r w:rsidRPr="00B6278D">
        <w:rPr>
          <w:rStyle w:val="a5"/>
          <w:lang w:val="kk-KZ"/>
        </w:rPr>
        <w:t>Заңына</w:t>
      </w:r>
      <w:r>
        <w:rPr>
          <w:rStyle w:val="a5"/>
        </w:rPr>
        <w:fldChar w:fldCharType="end"/>
      </w:r>
      <w:r w:rsidRPr="00B6278D">
        <w:rPr>
          <w:rStyle w:val="s0"/>
          <w:lang w:val="kk-KZ"/>
        </w:rPr>
        <w:t xml:space="preserve"> сәйкес, прокуратура органының тиісті талабы немесе сұрау салуы, сотқа дейінгі басталған тергеп-тексеру шеңберінде шығарылған тиісті қаулы, сондай-ақ соттың тиісті ұйғарымы бойынша тексеруге қатысу және қорытынды беру үшін аудиторлық ұйымдардың (аудиторлардың) тізбесін және олардың көрсетілетін қызметтеріне республикалық бюджеттен бөлінген қаражат шегінде ақы төлеуді айқындайды.</w:t>
      </w:r>
    </w:p>
    <w:p w:rsidR="00B6278D" w:rsidRPr="00B6278D" w:rsidRDefault="00B6278D" w:rsidP="00B6278D">
      <w:pPr>
        <w:pStyle w:val="pj"/>
        <w:rPr>
          <w:lang w:val="kk-KZ"/>
        </w:rPr>
      </w:pPr>
      <w:r w:rsidRPr="00B6278D">
        <w:rPr>
          <w:rStyle w:val="s0"/>
          <w:lang w:val="kk-KZ"/>
        </w:rPr>
        <w:t>3. Тексерілетін органдардың сұрау салуы бойынша, кезектілік пен өңірлік ұсынылу қағидаттарын сақтай отырып, аудиторлық ұйымдардың (аудиторлардың) тізбесінен аудиторлық ұйымды (аудиторды) айқындайды.</w:t>
      </w:r>
    </w:p>
    <w:p w:rsidR="00B6278D" w:rsidRPr="00B6278D" w:rsidRDefault="00B6278D" w:rsidP="00B6278D">
      <w:pPr>
        <w:pStyle w:val="pj"/>
        <w:rPr>
          <w:lang w:val="kk-KZ"/>
        </w:rPr>
      </w:pPr>
      <w:r w:rsidRPr="00B6278D">
        <w:rPr>
          <w:rStyle w:val="s0"/>
          <w:lang w:val="kk-KZ"/>
        </w:rPr>
        <w:t> </w:t>
      </w:r>
    </w:p>
    <w:p w:rsidR="00B6278D" w:rsidRDefault="00B6278D" w:rsidP="00B6278D">
      <w:pPr>
        <w:pStyle w:val="pj"/>
      </w:pPr>
      <w:bookmarkStart w:id="1" w:name="SUB540000"/>
      <w:bookmarkEnd w:id="1"/>
      <w:proofErr w:type="spellStart"/>
      <w:r>
        <w:rPr>
          <w:rStyle w:val="s1"/>
        </w:rPr>
        <w:t>Ішкі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мемлекетті</w:t>
      </w:r>
      <w:proofErr w:type="gramStart"/>
      <w:r>
        <w:rPr>
          <w:rStyle w:val="s1"/>
        </w:rPr>
        <w:t>к</w:t>
      </w:r>
      <w:proofErr w:type="spellEnd"/>
      <w:proofErr w:type="gramEnd"/>
      <w:r>
        <w:rPr>
          <w:rStyle w:val="s1"/>
        </w:rPr>
        <w:t xml:space="preserve"> аудит </w:t>
      </w:r>
      <w:proofErr w:type="spellStart"/>
      <w:r>
        <w:rPr>
          <w:rStyle w:val="s1"/>
        </w:rPr>
        <w:t>жөніндегі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уәкілетті</w:t>
      </w:r>
      <w:proofErr w:type="spellEnd"/>
      <w:r>
        <w:rPr>
          <w:rStyle w:val="s1"/>
        </w:rPr>
        <w:t xml:space="preserve"> орган </w:t>
      </w:r>
      <w:proofErr w:type="spellStart"/>
      <w:r>
        <w:rPr>
          <w:rStyle w:val="s1"/>
        </w:rPr>
        <w:t>және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оның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лауазымды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адамдары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тәуелсіздігінің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кепілдіктері</w:t>
      </w:r>
      <w:proofErr w:type="spellEnd"/>
    </w:p>
    <w:p w:rsidR="00B6278D" w:rsidRDefault="00B6278D" w:rsidP="00B6278D">
      <w:pPr>
        <w:pStyle w:val="pj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</w:t>
      </w:r>
      <w:proofErr w:type="gramStart"/>
      <w:r>
        <w:rPr>
          <w:rStyle w:val="s0"/>
        </w:rPr>
        <w:t>к</w:t>
      </w:r>
      <w:proofErr w:type="spellEnd"/>
      <w:proofErr w:type="gram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аудиторлары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объектісінен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тәуелсіз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қызметіне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ұйымдардың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</w:t>
      </w:r>
      <w:proofErr w:type="gramStart"/>
      <w:r>
        <w:rPr>
          <w:rStyle w:val="s0"/>
        </w:rPr>
        <w:t>ы</w:t>
      </w:r>
      <w:proofErr w:type="gramEnd"/>
      <w:r>
        <w:rPr>
          <w:rStyle w:val="s0"/>
        </w:rPr>
        <w:t>ққа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сыйымсыз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араласуына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r>
        <w:rPr>
          <w:rStyle w:val="s0"/>
        </w:rPr>
        <w:lastRenderedPageBreak/>
        <w:t xml:space="preserve">3.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сұрау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салулары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аудиторларын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өзге</w:t>
      </w:r>
      <w:proofErr w:type="spellEnd"/>
      <w:r>
        <w:rPr>
          <w:rStyle w:val="s0"/>
        </w:rPr>
        <w:t xml:space="preserve"> де </w:t>
      </w:r>
      <w:proofErr w:type="spellStart"/>
      <w:r>
        <w:rPr>
          <w:rStyle w:val="s0"/>
        </w:rPr>
        <w:t>лауазымды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адамдарын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объектілерінің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арналған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тізбесінде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көзделмеген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тексерулерді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тартуға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берілмейді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r>
        <w:rPr>
          <w:rStyle w:val="s0"/>
        </w:rPr>
        <w:t> </w:t>
      </w:r>
    </w:p>
    <w:p w:rsidR="00B6278D" w:rsidRDefault="00B6278D" w:rsidP="00B6278D">
      <w:pPr>
        <w:pStyle w:val="pj"/>
      </w:pPr>
      <w:r>
        <w:rPr>
          <w:rStyle w:val="s0"/>
        </w:rPr>
        <w:t> </w:t>
      </w:r>
      <w:r>
        <w:rPr>
          <w:rStyle w:val="s1"/>
        </w:rPr>
        <w:t>ІШКІ АУДИТ ҚЫЗМЕТТЕРІ</w:t>
      </w:r>
    </w:p>
    <w:p w:rsidR="00B6278D" w:rsidRDefault="00B6278D" w:rsidP="00B6278D">
      <w:pPr>
        <w:pStyle w:val="pc"/>
      </w:pPr>
      <w:r>
        <w:rPr>
          <w:rStyle w:val="s1"/>
        </w:rPr>
        <w:t> </w:t>
      </w:r>
    </w:p>
    <w:p w:rsidR="00B6278D" w:rsidRDefault="00B6278D" w:rsidP="00B6278D">
      <w:pPr>
        <w:pStyle w:val="pj"/>
      </w:pPr>
      <w:proofErr w:type="spellStart"/>
      <w:r>
        <w:rPr>
          <w:rStyle w:val="s1"/>
        </w:rPr>
        <w:t>Ішкі</w:t>
      </w:r>
      <w:proofErr w:type="spellEnd"/>
      <w:r>
        <w:rPr>
          <w:rStyle w:val="s1"/>
        </w:rPr>
        <w:t xml:space="preserve"> аудит </w:t>
      </w:r>
      <w:proofErr w:type="spellStart"/>
      <w:r>
        <w:rPr>
          <w:rStyle w:val="s1"/>
        </w:rPr>
        <w:t>қызметтері</w:t>
      </w:r>
      <w:proofErr w:type="gramStart"/>
      <w:r>
        <w:rPr>
          <w:rStyle w:val="s1"/>
        </w:rPr>
        <w:t>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ж</w:t>
      </w:r>
      <w:proofErr w:type="gramEnd"/>
      <w:r>
        <w:rPr>
          <w:rStyle w:val="s1"/>
        </w:rPr>
        <w:t>ұмысын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ұйымдастыру</w:t>
      </w:r>
      <w:proofErr w:type="spellEnd"/>
    </w:p>
    <w:p w:rsidR="00B6278D" w:rsidRDefault="00B6278D" w:rsidP="00B6278D">
      <w:pPr>
        <w:pStyle w:val="pj"/>
      </w:pP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</w:t>
      </w:r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басшысының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алқалы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органының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облыс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астана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әкімінің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осы </w:t>
      </w:r>
      <w:proofErr w:type="spellStart"/>
      <w:r>
        <w:rPr>
          <w:rStyle w:val="s0"/>
        </w:rPr>
        <w:t>Заң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бірінші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басшысы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әкімі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бекіткен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ереже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әрекет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етеді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ереже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қызметтері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үлгілік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ереже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әзірленеді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r>
        <w:rPr>
          <w:rStyle w:val="s0"/>
        </w:rPr>
        <w:t> </w:t>
      </w:r>
    </w:p>
    <w:p w:rsidR="00B6278D" w:rsidRDefault="00B6278D" w:rsidP="00B6278D">
      <w:pPr>
        <w:pStyle w:val="pj"/>
      </w:pPr>
      <w:bookmarkStart w:id="2" w:name="SUB560000"/>
      <w:bookmarkEnd w:id="2"/>
      <w:r>
        <w:rPr>
          <w:rStyle w:val="s1"/>
        </w:rPr>
        <w:t xml:space="preserve"> </w:t>
      </w:r>
      <w:proofErr w:type="spellStart"/>
      <w:r>
        <w:rPr>
          <w:rStyle w:val="s1"/>
        </w:rPr>
        <w:t>Ішкі</w:t>
      </w:r>
      <w:proofErr w:type="spellEnd"/>
      <w:r>
        <w:rPr>
          <w:rStyle w:val="s1"/>
        </w:rPr>
        <w:t xml:space="preserve"> аудит </w:t>
      </w:r>
      <w:proofErr w:type="spellStart"/>
      <w:r>
        <w:rPr>
          <w:rStyle w:val="s1"/>
        </w:rPr>
        <w:t>қызметі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тәуелсіздігінің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кепілдіктері</w:t>
      </w:r>
      <w:proofErr w:type="spellEnd"/>
    </w:p>
    <w:p w:rsidR="00B6278D" w:rsidRDefault="00B6278D" w:rsidP="00B6278D">
      <w:pPr>
        <w:pStyle w:val="pj"/>
      </w:pP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аудитті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жүргізуде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нәтижелері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дайындауда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тәуелсіз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болады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құрылымдық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бөлімшелерден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тәуелсіз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</w:t>
      </w:r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басшысына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әкіміне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бағынады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береді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бас</w:t>
      </w:r>
      <w:proofErr w:type="gramEnd"/>
      <w:r>
        <w:rPr>
          <w:rStyle w:val="s0"/>
        </w:rPr>
        <w:t>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құрылымдық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бөлімшелерінің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облыстардың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қалалардың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құзыретіне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жұмыстарға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өкілеттіктеріне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жатпайтын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бағдарламалар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жобаларды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дайындауға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тартуға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болмайды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r>
        <w:rPr>
          <w:rStyle w:val="s0"/>
        </w:rPr>
        <w:t> </w:t>
      </w:r>
    </w:p>
    <w:p w:rsidR="00B6278D" w:rsidRDefault="00B6278D" w:rsidP="00B6278D">
      <w:pPr>
        <w:pStyle w:val="pj"/>
      </w:pPr>
      <w:bookmarkStart w:id="3" w:name="SUB570000"/>
      <w:bookmarkEnd w:id="3"/>
      <w:r>
        <w:rPr>
          <w:rStyle w:val="s1"/>
          <w:lang w:val="kk-KZ"/>
        </w:rPr>
        <w:t xml:space="preserve">  </w:t>
      </w:r>
      <w:proofErr w:type="spellStart"/>
      <w:r>
        <w:rPr>
          <w:rStyle w:val="s1"/>
        </w:rPr>
        <w:t>Ішкі</w:t>
      </w:r>
      <w:proofErr w:type="spellEnd"/>
      <w:r>
        <w:rPr>
          <w:rStyle w:val="s1"/>
        </w:rPr>
        <w:t xml:space="preserve"> </w:t>
      </w:r>
      <w:proofErr w:type="spellStart"/>
      <w:proofErr w:type="gramStart"/>
      <w:r>
        <w:rPr>
          <w:rStyle w:val="s1"/>
        </w:rPr>
        <w:t>ба</w:t>
      </w:r>
      <w:proofErr w:type="gramEnd"/>
      <w:r>
        <w:rPr>
          <w:rStyle w:val="s1"/>
        </w:rPr>
        <w:t>қылау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жүйесі</w:t>
      </w:r>
      <w:proofErr w:type="spellEnd"/>
    </w:p>
    <w:p w:rsidR="00B6278D" w:rsidRDefault="00B6278D" w:rsidP="00B6278D">
      <w:pPr>
        <w:pStyle w:val="pj"/>
      </w:pPr>
      <w:r>
        <w:rPr>
          <w:rStyle w:val="s0"/>
        </w:rPr>
        <w:t xml:space="preserve">1.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ведомстволарында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аумақтық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бөлімшелерінде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ведомстволық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тиі</w:t>
      </w:r>
      <w:proofErr w:type="gramStart"/>
      <w:r>
        <w:rPr>
          <w:rStyle w:val="s0"/>
        </w:rPr>
        <w:t>ст</w:t>
      </w:r>
      <w:proofErr w:type="gramEnd"/>
      <w:r>
        <w:rPr>
          <w:rStyle w:val="s0"/>
        </w:rPr>
        <w:t>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бюджеттен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қаржыландырылатын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немесе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қаражат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алатын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әкімшілік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бағыныстылығының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аумағындағы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органдарда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бөлімшелерінде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ведомстволық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ба</w:t>
      </w:r>
      <w:proofErr w:type="gramEnd"/>
      <w:r>
        <w:rPr>
          <w:rStyle w:val="s0"/>
        </w:rPr>
        <w:t>ғынысты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ұйымдарында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жүйесін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ұйымдастыру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жұмыста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консультациялық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көмек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көрсетеді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r>
        <w:rPr>
          <w:rStyle w:val="s0"/>
        </w:rPr>
        <w:t xml:space="preserve">2.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ба</w:t>
      </w:r>
      <w:proofErr w:type="gramEnd"/>
      <w:r>
        <w:rPr>
          <w:rStyle w:val="s0"/>
        </w:rPr>
        <w:t>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мынадай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байланысты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құрауыштардан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тұрады</w:t>
      </w:r>
      <w:proofErr w:type="spellEnd"/>
      <w:r>
        <w:rPr>
          <w:rStyle w:val="s0"/>
        </w:rPr>
        <w:t>:</w:t>
      </w:r>
    </w:p>
    <w:p w:rsidR="00B6278D" w:rsidRDefault="00B6278D" w:rsidP="00B6278D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ортасы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корпоративтік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мәдениеті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ұйымдық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құрылымы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есептілік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сапасы</w:t>
      </w:r>
      <w:proofErr w:type="spellEnd"/>
      <w:r>
        <w:rPr>
          <w:rStyle w:val="s0"/>
        </w:rPr>
        <w:t xml:space="preserve"> мен </w:t>
      </w:r>
      <w:proofErr w:type="spellStart"/>
      <w:r>
        <w:rPr>
          <w:rStyle w:val="s0"/>
        </w:rPr>
        <w:t>қызметінің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тиімділігін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</w:t>
      </w:r>
      <w:proofErr w:type="spellEnd"/>
      <w:r>
        <w:rPr>
          <w:rStyle w:val="s0"/>
        </w:rPr>
        <w:t xml:space="preserve"> ала </w:t>
      </w:r>
      <w:proofErr w:type="spellStart"/>
      <w:r>
        <w:rPr>
          <w:rStyle w:val="s0"/>
        </w:rPr>
        <w:t>айқындайтын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саясат</w:t>
      </w:r>
      <w:proofErr w:type="spellEnd"/>
      <w:r>
        <w:rPr>
          <w:rStyle w:val="s0"/>
        </w:rPr>
        <w:t xml:space="preserve"> пен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әсімдердің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жиынтығы</w:t>
      </w:r>
      <w:proofErr w:type="spellEnd"/>
      <w:r>
        <w:rPr>
          <w:rStyle w:val="s0"/>
        </w:rPr>
        <w:t>;</w:t>
      </w:r>
    </w:p>
    <w:p w:rsidR="00B6278D" w:rsidRDefault="00B6278D" w:rsidP="00B6278D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тәуекелдерді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әсер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тәуекелдерді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талдау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олардың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алдын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процесі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Тәуекелдерді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бағалау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әсімдерін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жасау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іс-шараларды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жоспарлау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негіз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болып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табылады</w:t>
      </w:r>
      <w:proofErr w:type="spellEnd"/>
      <w:r>
        <w:rPr>
          <w:rStyle w:val="s0"/>
        </w:rPr>
        <w:t>;</w:t>
      </w:r>
    </w:p>
    <w:p w:rsidR="00B6278D" w:rsidRDefault="00B6278D" w:rsidP="00B6278D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әсімдері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лауазымды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адамдар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құрылымдық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бөлімшелер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өз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функцияларын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орындауы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кезінде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рәсімдерінің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техниканың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үйлесімі</w:t>
      </w:r>
      <w:proofErr w:type="spellEnd"/>
      <w:r>
        <w:rPr>
          <w:rStyle w:val="s0"/>
        </w:rPr>
        <w:t>;</w:t>
      </w:r>
    </w:p>
    <w:p w:rsidR="00B6278D" w:rsidRDefault="00B6278D" w:rsidP="00B6278D">
      <w:pPr>
        <w:pStyle w:val="pj"/>
      </w:pPr>
      <w:r>
        <w:rPr>
          <w:rStyle w:val="s0"/>
        </w:rPr>
        <w:t xml:space="preserve">4) </w:t>
      </w:r>
      <w:proofErr w:type="spellStart"/>
      <w:r>
        <w:rPr>
          <w:rStyle w:val="s0"/>
        </w:rPr>
        <w:t>ақпарат</w:t>
      </w:r>
      <w:proofErr w:type="spellEnd"/>
      <w:r>
        <w:rPr>
          <w:rStyle w:val="s0"/>
        </w:rPr>
        <w:t xml:space="preserve"> пен </w:t>
      </w:r>
      <w:proofErr w:type="spellStart"/>
      <w:r>
        <w:rPr>
          <w:rStyle w:val="s0"/>
        </w:rPr>
        <w:t>байланыс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орган </w:t>
      </w:r>
      <w:proofErr w:type="spellStart"/>
      <w:r>
        <w:rPr>
          <w:rStyle w:val="s0"/>
        </w:rPr>
        <w:t>қызметінің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барлық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салаларын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қамтитын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деректердің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уақтылы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</w:t>
      </w:r>
      <w:proofErr w:type="gramStart"/>
      <w:r>
        <w:rPr>
          <w:rStyle w:val="s0"/>
        </w:rPr>
        <w:t>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</w:t>
      </w:r>
      <w:proofErr w:type="gramEnd"/>
      <w:r>
        <w:rPr>
          <w:rStyle w:val="s0"/>
        </w:rPr>
        <w:t>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анықталуы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оларды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тіркеу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оларды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алмасу</w:t>
      </w:r>
      <w:proofErr w:type="spellEnd"/>
      <w:r>
        <w:rPr>
          <w:rStyle w:val="s0"/>
        </w:rPr>
        <w:t xml:space="preserve">.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gramStart"/>
      <w:r>
        <w:rPr>
          <w:rStyle w:val="s0"/>
        </w:rPr>
        <w:t>орган</w:t>
      </w:r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ақпаратқа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санкциясыз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жеткізуден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қорғау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үшін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шаралар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қабылдайды</w:t>
      </w:r>
      <w:proofErr w:type="spellEnd"/>
      <w:r>
        <w:rPr>
          <w:rStyle w:val="s0"/>
        </w:rPr>
        <w:t>;</w:t>
      </w:r>
    </w:p>
    <w:p w:rsidR="00B6278D" w:rsidRDefault="00B6278D" w:rsidP="00B6278D">
      <w:pPr>
        <w:pStyle w:val="pj"/>
      </w:pPr>
      <w:r>
        <w:rPr>
          <w:rStyle w:val="s0"/>
        </w:rPr>
        <w:t xml:space="preserve">5)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жүйесі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тиімділігінің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мониторингі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оны </w:t>
      </w:r>
      <w:proofErr w:type="spellStart"/>
      <w:r>
        <w:rPr>
          <w:rStyle w:val="s0"/>
        </w:rPr>
        <w:t>бағалау</w:t>
      </w:r>
      <w:proofErr w:type="spellEnd"/>
      <w:r>
        <w:rPr>
          <w:rStyle w:val="s0"/>
        </w:rPr>
        <w:t xml:space="preserve"> -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</w:t>
      </w:r>
      <w:proofErr w:type="gramStart"/>
      <w:r>
        <w:rPr>
          <w:rStyle w:val="s0"/>
        </w:rPr>
        <w:t>саттар</w:t>
      </w:r>
      <w:proofErr w:type="gramEnd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жеткізуіне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есептілігінің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анықтығына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әсер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қателердің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туындау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ықтималдығын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айқындау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бұл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қателердің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елеулілігін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анықтау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lastRenderedPageBreak/>
        <w:t>алға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қойылған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мақсаттар</w:t>
      </w:r>
      <w:proofErr w:type="spellEnd"/>
      <w:r>
        <w:rPr>
          <w:rStyle w:val="s0"/>
        </w:rPr>
        <w:t xml:space="preserve"> мен </w:t>
      </w:r>
      <w:proofErr w:type="spellStart"/>
      <w:proofErr w:type="gramStart"/>
      <w:r>
        <w:rPr>
          <w:rStyle w:val="s0"/>
        </w:rPr>
        <w:t>м</w:t>
      </w:r>
      <w:proofErr w:type="gramEnd"/>
      <w:r>
        <w:rPr>
          <w:rStyle w:val="s0"/>
        </w:rPr>
        <w:t>індеттерге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жеткізуді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қамтамасыз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етуге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жүйесінің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қабілетін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айқындау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r>
        <w:rPr>
          <w:rStyle w:val="s0"/>
        </w:rPr>
        <w:t> </w:t>
      </w:r>
    </w:p>
    <w:p w:rsidR="00B6278D" w:rsidRDefault="00B6278D" w:rsidP="00B6278D">
      <w:pPr>
        <w:pStyle w:val="pj"/>
      </w:pPr>
      <w:bookmarkStart w:id="4" w:name="SUB580000"/>
      <w:bookmarkEnd w:id="4"/>
      <w:proofErr w:type="spellStart"/>
      <w:r>
        <w:rPr>
          <w:rStyle w:val="s1"/>
        </w:rPr>
        <w:t>Мемлекеттік</w:t>
      </w:r>
      <w:proofErr w:type="spellEnd"/>
      <w:r>
        <w:rPr>
          <w:rStyle w:val="s1"/>
        </w:rPr>
        <w:t xml:space="preserve"> орган </w:t>
      </w:r>
      <w:proofErr w:type="spellStart"/>
      <w:r>
        <w:rPr>
          <w:rStyle w:val="s1"/>
        </w:rPr>
        <w:t>басшысының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ішкі</w:t>
      </w:r>
      <w:proofErr w:type="spellEnd"/>
      <w:r>
        <w:rPr>
          <w:rStyle w:val="s1"/>
        </w:rPr>
        <w:t xml:space="preserve"> аудит </w:t>
      </w:r>
      <w:proofErr w:type="spellStart"/>
      <w:r>
        <w:rPr>
          <w:rStyle w:val="s1"/>
        </w:rPr>
        <w:t>қызметімен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өзара</w:t>
      </w:r>
      <w:proofErr w:type="spellEnd"/>
      <w:r>
        <w:rPr>
          <w:rStyle w:val="s1"/>
        </w:rPr>
        <w:t xml:space="preserve"> </w:t>
      </w:r>
      <w:proofErr w:type="spellStart"/>
      <w:r>
        <w:rPr>
          <w:rStyle w:val="s1"/>
        </w:rPr>
        <w:t>і</w:t>
      </w:r>
      <w:proofErr w:type="gramStart"/>
      <w:r>
        <w:rPr>
          <w:rStyle w:val="s1"/>
        </w:rPr>
        <w:t>с-</w:t>
      </w:r>
      <w:proofErr w:type="gramEnd"/>
      <w:r>
        <w:rPr>
          <w:rStyle w:val="s1"/>
        </w:rPr>
        <w:t>қимылы</w:t>
      </w:r>
      <w:proofErr w:type="spellEnd"/>
    </w:p>
    <w:p w:rsidR="00B6278D" w:rsidRDefault="00B6278D" w:rsidP="00B6278D">
      <w:pPr>
        <w:pStyle w:val="pj"/>
      </w:pP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органның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басшысы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қызметімен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өзара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</w:t>
      </w:r>
      <w:proofErr w:type="gramStart"/>
      <w:r>
        <w:rPr>
          <w:rStyle w:val="s0"/>
        </w:rPr>
        <w:t>с-</w:t>
      </w:r>
      <w:proofErr w:type="gramEnd"/>
      <w:r>
        <w:rPr>
          <w:rStyle w:val="s0"/>
        </w:rPr>
        <w:t>қимылды</w:t>
      </w:r>
      <w:proofErr w:type="spellEnd"/>
      <w:r>
        <w:rPr>
          <w:rStyle w:val="s0"/>
        </w:rPr>
        <w:t>:</w:t>
      </w:r>
    </w:p>
    <w:p w:rsidR="00B6278D" w:rsidRDefault="00B6278D" w:rsidP="00B6278D">
      <w:pPr>
        <w:pStyle w:val="pj"/>
      </w:pPr>
      <w:r>
        <w:rPr>
          <w:rStyle w:val="s0"/>
        </w:rPr>
        <w:t xml:space="preserve">1)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жұмыс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жоспарын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бекіту</w:t>
      </w:r>
      <w:proofErr w:type="spellEnd"/>
      <w:r>
        <w:rPr>
          <w:rStyle w:val="s0"/>
        </w:rPr>
        <w:t>;</w:t>
      </w:r>
    </w:p>
    <w:p w:rsidR="00B6278D" w:rsidRDefault="00B6278D" w:rsidP="00B6278D">
      <w:pPr>
        <w:pStyle w:val="pj"/>
      </w:pPr>
      <w:r>
        <w:rPr>
          <w:rStyle w:val="s0"/>
        </w:rPr>
        <w:t xml:space="preserve">2) </w:t>
      </w:r>
      <w:proofErr w:type="spellStart"/>
      <w:r>
        <w:rPr>
          <w:rStyle w:val="s0"/>
        </w:rPr>
        <w:t>мемлекетті</w:t>
      </w:r>
      <w:proofErr w:type="gramStart"/>
      <w:r>
        <w:rPr>
          <w:rStyle w:val="s0"/>
        </w:rPr>
        <w:t>к</w:t>
      </w:r>
      <w:proofErr w:type="spellEnd"/>
      <w:proofErr w:type="gram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тәуекелдер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кеңестің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ұсынымдарын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іске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туралы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шешімді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қабылдау</w:t>
      </w:r>
      <w:proofErr w:type="spellEnd"/>
      <w:r>
        <w:rPr>
          <w:rStyle w:val="s0"/>
        </w:rPr>
        <w:t>;</w:t>
      </w:r>
    </w:p>
    <w:p w:rsidR="00B6278D" w:rsidRDefault="00B6278D" w:rsidP="00B6278D">
      <w:pPr>
        <w:pStyle w:val="pj"/>
      </w:pPr>
      <w:r>
        <w:rPr>
          <w:rStyle w:val="s0"/>
        </w:rPr>
        <w:t xml:space="preserve">3)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</w:t>
      </w:r>
      <w:proofErr w:type="gramStart"/>
      <w:r>
        <w:rPr>
          <w:rStyle w:val="s0"/>
        </w:rPr>
        <w:t>к</w:t>
      </w:r>
      <w:proofErr w:type="spellEnd"/>
      <w:proofErr w:type="gram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қорытындылары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бойынша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жылдық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есепті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арқылы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жүзеге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асырады</w:t>
      </w:r>
      <w:proofErr w:type="spellEnd"/>
      <w:r>
        <w:rPr>
          <w:rStyle w:val="s0"/>
        </w:rPr>
        <w:t>.</w:t>
      </w:r>
    </w:p>
    <w:p w:rsidR="00B6278D" w:rsidRDefault="00B6278D" w:rsidP="00B6278D">
      <w:pPr>
        <w:pStyle w:val="pj"/>
      </w:pPr>
      <w:proofErr w:type="spellStart"/>
      <w:r>
        <w:rPr>
          <w:rStyle w:val="s0"/>
        </w:rPr>
        <w:t>Орталық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орган, </w:t>
      </w:r>
      <w:proofErr w:type="spellStart"/>
      <w:r>
        <w:rPr>
          <w:rStyle w:val="s0"/>
        </w:rPr>
        <w:t>облыстың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республикалық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маңызы</w:t>
      </w:r>
      <w:proofErr w:type="spellEnd"/>
      <w:r>
        <w:rPr>
          <w:rStyle w:val="s0"/>
        </w:rPr>
        <w:t xml:space="preserve"> бар </w:t>
      </w:r>
      <w:proofErr w:type="spellStart"/>
      <w:r>
        <w:rPr>
          <w:rStyle w:val="s0"/>
        </w:rPr>
        <w:t>қаланың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астананың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жергілікті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атқарушы</w:t>
      </w:r>
      <w:proofErr w:type="spellEnd"/>
      <w:r>
        <w:rPr>
          <w:rStyle w:val="s0"/>
        </w:rPr>
        <w:t xml:space="preserve"> органы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қызметінің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стандарттарын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сондай-ақ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және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қаржылық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бақылау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жүргі</w:t>
      </w:r>
      <w:proofErr w:type="gramStart"/>
      <w:r>
        <w:rPr>
          <w:rStyle w:val="s0"/>
        </w:rPr>
        <w:t>зу</w:t>
      </w:r>
      <w:proofErr w:type="spellEnd"/>
      <w:proofErr w:type="gramEnd"/>
      <w:r>
        <w:rPr>
          <w:rStyle w:val="s0"/>
        </w:rPr>
        <w:t xml:space="preserve"> </w:t>
      </w:r>
      <w:proofErr w:type="spellStart"/>
      <w:r>
        <w:rPr>
          <w:rStyle w:val="s0"/>
        </w:rPr>
        <w:t>қағидаларын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сақтау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мәселелері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басшысының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хаттарды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ішкі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мемлекеттік</w:t>
      </w:r>
      <w:proofErr w:type="spellEnd"/>
      <w:r>
        <w:rPr>
          <w:rStyle w:val="s0"/>
        </w:rPr>
        <w:t xml:space="preserve"> аудит </w:t>
      </w:r>
      <w:proofErr w:type="spellStart"/>
      <w:r>
        <w:rPr>
          <w:rStyle w:val="s0"/>
        </w:rPr>
        <w:t>жөніндегі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уәкілетті</w:t>
      </w:r>
      <w:proofErr w:type="spellEnd"/>
      <w:r>
        <w:rPr>
          <w:rStyle w:val="s0"/>
        </w:rPr>
        <w:t xml:space="preserve"> </w:t>
      </w:r>
      <w:proofErr w:type="spellStart"/>
      <w:proofErr w:type="gramStart"/>
      <w:r>
        <w:rPr>
          <w:rStyle w:val="s0"/>
        </w:rPr>
        <w:t>орган</w:t>
      </w:r>
      <w:proofErr w:type="gramEnd"/>
      <w:r>
        <w:rPr>
          <w:rStyle w:val="s0"/>
        </w:rPr>
        <w:t>ға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жіберген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кезде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қою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</w:t>
      </w:r>
      <w:proofErr w:type="spellEnd"/>
      <w:r>
        <w:rPr>
          <w:rStyle w:val="s0"/>
        </w:rPr>
        <w:t xml:space="preserve"> бар.</w:t>
      </w:r>
    </w:p>
    <w:p w:rsidR="00B6278D" w:rsidRDefault="00B6278D" w:rsidP="00B6278D">
      <w:pPr>
        <w:pStyle w:val="pj"/>
      </w:pPr>
      <w:proofErr w:type="spellStart"/>
      <w:r>
        <w:rPr>
          <w:rStyle w:val="s0"/>
        </w:rPr>
        <w:t>Қол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қою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құқығы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бі</w:t>
      </w:r>
      <w:proofErr w:type="gramStart"/>
      <w:r>
        <w:rPr>
          <w:rStyle w:val="s0"/>
        </w:rPr>
        <w:t>р</w:t>
      </w:r>
      <w:proofErr w:type="gramEnd"/>
      <w:r>
        <w:rPr>
          <w:rStyle w:val="s0"/>
        </w:rPr>
        <w:t>інші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басшының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әкімнің</w:t>
      </w:r>
      <w:proofErr w:type="spellEnd"/>
      <w:r>
        <w:rPr>
          <w:rStyle w:val="s0"/>
        </w:rPr>
        <w:t xml:space="preserve">) </w:t>
      </w:r>
      <w:proofErr w:type="spellStart"/>
      <w:r>
        <w:rPr>
          <w:rStyle w:val="s0"/>
        </w:rPr>
        <w:t>тиісті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бұйрығымен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ресімделеді</w:t>
      </w:r>
      <w:proofErr w:type="spellEnd"/>
      <w:r>
        <w:rPr>
          <w:rStyle w:val="s0"/>
        </w:rPr>
        <w:t>.</w:t>
      </w:r>
    </w:p>
    <w:p w:rsidR="00EA339F" w:rsidRPr="00B6278D" w:rsidRDefault="00EA339F" w:rsidP="00EB50BD">
      <w:pPr>
        <w:pStyle w:val="pj"/>
        <w:ind w:firstLine="0"/>
      </w:pPr>
    </w:p>
    <w:p w:rsidR="00EA339F" w:rsidRPr="00EA339F" w:rsidRDefault="00EA339F" w:rsidP="007776B9">
      <w:pPr>
        <w:pStyle w:val="pj"/>
        <w:ind w:firstLine="0"/>
        <w:rPr>
          <w:lang w:val="kk-KZ"/>
        </w:rPr>
      </w:pPr>
    </w:p>
    <w:p w:rsidR="00CB4543" w:rsidRPr="00EA339F" w:rsidRDefault="00EA339F" w:rsidP="00EB50BD">
      <w:pPr>
        <w:pStyle w:val="pj"/>
        <w:rPr>
          <w:lang w:val="kk-KZ"/>
        </w:rPr>
      </w:pPr>
      <w:bookmarkStart w:id="5" w:name="SUB310000"/>
      <w:bookmarkEnd w:id="5"/>
      <w:r w:rsidRPr="001A6100">
        <w:rPr>
          <w:rStyle w:val="s0"/>
          <w:lang w:val="kk-KZ"/>
        </w:rPr>
        <w:t> 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Әдебиет: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1.«Мемлекеттік аудит және қаржылық бақылау туралы» Қазақстан Республикасының Заңы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2015 жылғы 12 қарашадағы № 392-V 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2.Қазақстан Республикасында мемлекеттік аудитті енгізу тұжырымдамасын бекіту т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Астана: Әділет, 2013.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3.Бейсенова Л.З. Мемлекеттік сектордағы қаржылық бақылау,|2015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Мемлекеттік аудит // Астана, 2016.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4.А.Н.Игликова, Ж.А.Жамаш, А.Ш.Раманова Қазақстан Республикасында мемлекеттік аудит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 жүргізетін тексерулерді зерттеу// М.Х.Дулати атындағы Тараз мемлекеттік университеті,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Тараз қ., Қазақстан, 2016.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5.Акатаева И.К., БайрамоваГ.Ш., Бектурова А.Т., Болдурукова Л.Ж., Салимова М.К., Топаева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А.К.  Аудит финансовой отчетности – Астана: АО «Финансовая академия», 2016.- 86 с.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6.Топаева А.К., БайрамоваГ.Ш., Акатаева И.К. Аудит соответстия: учебное пособие – Астана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 xml:space="preserve">    АО «Финансовая академия», 2016.- 134 с.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hAnsi="Times New Roman"/>
          <w:sz w:val="24"/>
          <w:szCs w:val="24"/>
          <w:lang w:val="kk-KZ"/>
        </w:rPr>
        <w:t>Интернет-ресурстары: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eastAsia="Times New Roman" w:hAnsi="Times New Roman"/>
          <w:sz w:val="24"/>
          <w:szCs w:val="24"/>
          <w:lang w:val="kk-KZ"/>
        </w:rPr>
        <w:t>1</w:t>
      </w:r>
      <w:r w:rsidRPr="007F2C2C">
        <w:rPr>
          <w:rFonts w:ascii="Times New Roman" w:hAnsi="Times New Roman"/>
          <w:sz w:val="24"/>
          <w:szCs w:val="24"/>
          <w:lang w:val="kk-KZ"/>
        </w:rPr>
        <w:t xml:space="preserve">.www. </w:t>
      </w:r>
      <w:hyperlink r:id="rId7" w:history="1">
        <w:r w:rsidRPr="007F2C2C">
          <w:rPr>
            <w:rFonts w:ascii="Times New Roman" w:hAnsi="Times New Roman"/>
            <w:sz w:val="24"/>
            <w:szCs w:val="24"/>
            <w:lang w:val="kk-KZ"/>
          </w:rPr>
          <w:t>audit.kz</w:t>
        </w:r>
      </w:hyperlink>
      <w:r w:rsidRPr="007F2C2C">
        <w:rPr>
          <w:rFonts w:ascii="Times New Roman" w:hAnsi="Times New Roman"/>
          <w:sz w:val="24"/>
          <w:szCs w:val="24"/>
          <w:lang w:val="kk-KZ"/>
        </w:rPr>
        <w:t>, ,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eastAsia="Times New Roman" w:hAnsi="Times New Roman"/>
          <w:sz w:val="24"/>
          <w:szCs w:val="24"/>
          <w:lang w:val="kk-KZ"/>
        </w:rPr>
        <w:t>2</w:t>
      </w:r>
      <w:r w:rsidRPr="007F2C2C">
        <w:rPr>
          <w:rFonts w:ascii="Times New Roman" w:hAnsi="Times New Roman"/>
          <w:sz w:val="24"/>
          <w:szCs w:val="24"/>
          <w:lang w:val="kk-KZ"/>
        </w:rPr>
        <w:t>.www.</w:t>
      </w:r>
      <w:hyperlink r:id="rId8" w:tgtFrame="_blank" w:history="1">
        <w:r w:rsidRPr="007F2C2C">
          <w:rPr>
            <w:rFonts w:ascii="Times New Roman" w:hAnsi="Times New Roman"/>
            <w:sz w:val="24"/>
            <w:szCs w:val="24"/>
            <w:lang w:val="kk-KZ"/>
          </w:rPr>
          <w:t>paragraf.kz</w:t>
        </w:r>
      </w:hyperlink>
      <w:r w:rsidRPr="007F2C2C">
        <w:rPr>
          <w:rFonts w:ascii="Times New Roman" w:hAnsi="Times New Roman"/>
          <w:sz w:val="24"/>
          <w:szCs w:val="24"/>
          <w:lang w:val="kk-KZ"/>
        </w:rPr>
        <w:t xml:space="preserve">, </w:t>
      </w:r>
    </w:p>
    <w:p w:rsidR="00CB4543" w:rsidRPr="007F2C2C" w:rsidRDefault="00CB4543" w:rsidP="00CB4543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7F2C2C">
        <w:rPr>
          <w:rFonts w:ascii="Times New Roman" w:eastAsia="Times New Roman" w:hAnsi="Times New Roman"/>
          <w:sz w:val="24"/>
          <w:szCs w:val="24"/>
          <w:lang w:val="kk-KZ"/>
        </w:rPr>
        <w:t>3</w:t>
      </w:r>
      <w:r w:rsidRPr="007F2C2C">
        <w:rPr>
          <w:rFonts w:ascii="Times New Roman" w:hAnsi="Times New Roman"/>
          <w:sz w:val="24"/>
          <w:szCs w:val="24"/>
          <w:lang w:val="kk-KZ"/>
        </w:rPr>
        <w:t>.</w:t>
      </w:r>
      <w:hyperlink r:id="rId9" w:history="1">
        <w:r w:rsidRPr="007F2C2C">
          <w:rPr>
            <w:rFonts w:ascii="Times New Roman" w:hAnsi="Times New Roman"/>
            <w:sz w:val="24"/>
            <w:szCs w:val="24"/>
            <w:lang w:val="kk-KZ"/>
          </w:rPr>
          <w:t>http://online.zakon.kz</w:t>
        </w:r>
      </w:hyperlink>
    </w:p>
    <w:p w:rsidR="00CB4543" w:rsidRPr="007F2C2C" w:rsidRDefault="00CB4543" w:rsidP="00CB4543">
      <w:pPr>
        <w:pStyle w:val="pj"/>
        <w:rPr>
          <w:lang w:val="kk-KZ"/>
        </w:rPr>
      </w:pPr>
      <w:r w:rsidRPr="002F7CDC">
        <w:rPr>
          <w:sz w:val="20"/>
          <w:szCs w:val="20"/>
          <w:lang w:val="kk-KZ" w:eastAsia="en-US"/>
        </w:rPr>
        <w:t xml:space="preserve"> 4. http://audit.kdt.kz/</w:t>
      </w:r>
    </w:p>
    <w:p w:rsidR="00CB4543" w:rsidRPr="007F2C2C" w:rsidRDefault="00CB4543" w:rsidP="00CB4543">
      <w:pPr>
        <w:rPr>
          <w:rStyle w:val="s1"/>
          <w:sz w:val="24"/>
          <w:szCs w:val="24"/>
          <w:lang w:val="kk-KZ"/>
        </w:rPr>
      </w:pPr>
    </w:p>
    <w:p w:rsidR="00CB4543" w:rsidRDefault="00CB4543" w:rsidP="00CB4543">
      <w:pPr>
        <w:rPr>
          <w:sz w:val="20"/>
          <w:szCs w:val="20"/>
          <w:lang w:val="kk-KZ"/>
        </w:rPr>
      </w:pPr>
    </w:p>
    <w:p w:rsidR="00CB4543" w:rsidRPr="00CB4543" w:rsidRDefault="00CB4543">
      <w:pPr>
        <w:rPr>
          <w:lang w:val="kk-KZ"/>
        </w:rPr>
      </w:pPr>
    </w:p>
    <w:sectPr w:rsidR="00CB4543" w:rsidRPr="00CB4543" w:rsidSect="00EA339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A40"/>
    <w:multiLevelType w:val="hybridMultilevel"/>
    <w:tmpl w:val="BF2EBE9C"/>
    <w:lvl w:ilvl="0" w:tplc="D6088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9143F5"/>
    <w:multiLevelType w:val="hybridMultilevel"/>
    <w:tmpl w:val="47BAFDBC"/>
    <w:lvl w:ilvl="0" w:tplc="98267008">
      <w:start w:val="1"/>
      <w:numFmt w:val="decimal"/>
      <w:lvlText w:val="%1."/>
      <w:lvlJc w:val="left"/>
      <w:pPr>
        <w:ind w:left="11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595C7A58"/>
    <w:multiLevelType w:val="hybridMultilevel"/>
    <w:tmpl w:val="F76EDF04"/>
    <w:lvl w:ilvl="0" w:tplc="5DFAD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E8018C2"/>
    <w:multiLevelType w:val="hybridMultilevel"/>
    <w:tmpl w:val="BD54D7F0"/>
    <w:lvl w:ilvl="0" w:tplc="944E044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5FF74295"/>
    <w:multiLevelType w:val="hybridMultilevel"/>
    <w:tmpl w:val="9C02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AA"/>
    <w:rsid w:val="001A6100"/>
    <w:rsid w:val="00723D5F"/>
    <w:rsid w:val="007776B9"/>
    <w:rsid w:val="007F5036"/>
    <w:rsid w:val="00A71917"/>
    <w:rsid w:val="00B6278D"/>
    <w:rsid w:val="00C07025"/>
    <w:rsid w:val="00C44E82"/>
    <w:rsid w:val="00CB4543"/>
    <w:rsid w:val="00EA339F"/>
    <w:rsid w:val="00EB50BD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B4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4543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CB454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CB454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CB45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45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c">
    <w:name w:val="pc"/>
    <w:basedOn w:val="a"/>
    <w:rsid w:val="00CB4543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CB4543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3">
    <w:name w:val="s3"/>
    <w:basedOn w:val="a0"/>
    <w:rsid w:val="00CB454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fontstyle01">
    <w:name w:val="fontstyle01"/>
    <w:basedOn w:val="a0"/>
    <w:rsid w:val="00EA339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9">
    <w:name w:val="s19"/>
    <w:basedOn w:val="a0"/>
    <w:rsid w:val="00EA339F"/>
    <w:rPr>
      <w:rFonts w:ascii="Times New Roman" w:hAnsi="Times New Roman" w:cs="Times New Roman" w:hint="default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45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B4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4543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CB4543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CB454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5">
    <w:name w:val="Hyperlink"/>
    <w:basedOn w:val="a0"/>
    <w:uiPriority w:val="99"/>
    <w:semiHidden/>
    <w:unhideWhenUsed/>
    <w:rsid w:val="00CB45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454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c">
    <w:name w:val="pc"/>
    <w:basedOn w:val="a"/>
    <w:rsid w:val="00CB4543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i">
    <w:name w:val="pji"/>
    <w:basedOn w:val="a"/>
    <w:rsid w:val="00CB4543"/>
    <w:pPr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3">
    <w:name w:val="s3"/>
    <w:basedOn w:val="a0"/>
    <w:rsid w:val="00CB4543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fontstyle01">
    <w:name w:val="fontstyle01"/>
    <w:basedOn w:val="a0"/>
    <w:rsid w:val="00EA339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9">
    <w:name w:val="s19"/>
    <w:basedOn w:val="a0"/>
    <w:rsid w:val="00EA339F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graf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audit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8FD38-9D72-4CCE-95A9-786CD592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2022-09-18T18:37:00Z</dcterms:created>
  <dcterms:modified xsi:type="dcterms:W3CDTF">2022-09-19T04:40:00Z</dcterms:modified>
</cp:coreProperties>
</file>